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551A" w:rsidRDefault="004F551A">
      <w:pPr>
        <w:spacing w:line="273" w:lineRule="auto"/>
        <w:ind w:left="226" w:right="226"/>
        <w:jc w:val="both"/>
        <w:rPr>
          <w:rFonts w:ascii="Arial Narrow" w:eastAsia="Arial Narrow" w:hAnsi="Arial Narrow" w:cs="Arial Narrow"/>
          <w:b/>
          <w:highlight w:val="white"/>
          <w:u w:val="single"/>
        </w:rPr>
      </w:pPr>
      <w:bookmarkStart w:id="0" w:name="_ghh4y8j7mzs5" w:colFirst="0" w:colLast="0"/>
      <w:bookmarkEnd w:id="0"/>
    </w:p>
    <w:p w:rsidR="004F551A" w:rsidRDefault="00BF6A2E">
      <w:pPr>
        <w:spacing w:line="273" w:lineRule="auto"/>
        <w:ind w:left="226" w:right="226"/>
        <w:jc w:val="both"/>
        <w:rPr>
          <w:highlight w:val="white"/>
        </w:rPr>
      </w:pPr>
      <w:bookmarkStart w:id="1" w:name="_8gdm3vurd7oi" w:colFirst="0" w:colLast="0"/>
      <w:bookmarkEnd w:id="1"/>
      <w:r>
        <w:rPr>
          <w:highlight w:val="white"/>
        </w:rPr>
        <w:t>Monday 6th April</w:t>
      </w:r>
    </w:p>
    <w:p w:rsidR="004F551A" w:rsidRDefault="004F551A">
      <w:pPr>
        <w:spacing w:line="273" w:lineRule="auto"/>
        <w:ind w:left="226" w:right="226"/>
        <w:jc w:val="both"/>
        <w:rPr>
          <w:highlight w:val="white"/>
        </w:rPr>
      </w:pPr>
      <w:bookmarkStart w:id="2" w:name="_t38nqqdedbmg" w:colFirst="0" w:colLast="0"/>
      <w:bookmarkEnd w:id="2"/>
    </w:p>
    <w:p w:rsidR="004F551A" w:rsidRDefault="004F551A">
      <w:pPr>
        <w:spacing w:line="273" w:lineRule="auto"/>
        <w:ind w:left="226" w:right="226"/>
        <w:jc w:val="both"/>
        <w:rPr>
          <w:rFonts w:ascii="Arial Narrow" w:eastAsia="Arial Narrow" w:hAnsi="Arial Narrow" w:cs="Arial Narrow"/>
          <w:b/>
          <w:highlight w:val="white"/>
          <w:u w:val="single"/>
        </w:rPr>
      </w:pPr>
      <w:bookmarkStart w:id="3" w:name="_wvd7fbm1srl4" w:colFirst="0" w:colLast="0"/>
      <w:bookmarkEnd w:id="3"/>
    </w:p>
    <w:p w:rsidR="004F551A" w:rsidRDefault="00BF6A2E">
      <w:pPr>
        <w:spacing w:line="273" w:lineRule="auto"/>
        <w:ind w:left="226" w:right="226"/>
        <w:jc w:val="both"/>
      </w:pPr>
      <w:bookmarkStart w:id="4" w:name="_dmatnbfuqyt6" w:colFirst="0" w:colLast="0"/>
      <w:bookmarkEnd w:id="4"/>
      <w:r>
        <w:t>Dear Families,</w:t>
      </w:r>
    </w:p>
    <w:p w:rsidR="004F551A" w:rsidRDefault="004F551A">
      <w:pPr>
        <w:ind w:left="226" w:right="226"/>
      </w:pPr>
    </w:p>
    <w:p w:rsidR="004F551A" w:rsidRDefault="00BF6A2E">
      <w:pPr>
        <w:ind w:left="226" w:right="226"/>
        <w:jc w:val="both"/>
      </w:pPr>
      <w:r>
        <w:t xml:space="preserve">On Friday 3rd April </w:t>
      </w:r>
      <w:proofErr w:type="spellStart"/>
      <w:r>
        <w:t>Ofqual</w:t>
      </w:r>
      <w:proofErr w:type="spellEnd"/>
      <w:r>
        <w:t xml:space="preserve">, the government agency responsible for education qualifications, announced its systems for ensuring that Year 11 and Year 13 students receive grades for the qualifications they have been studying. Each school will be asked to indicate the correct grades for students, based on all the evidence the school has of a student’s progress and attainment to date. The estimated grade will be based on classwork and homework; results in assignments and any mock exams; any non-exam assessment or coursework you might have done; and general progress throughout the course. The government will moderate these grades so that they are fair across all schools.  Further information and guidance can be found </w:t>
      </w:r>
      <w:hyperlink r:id="rId7">
        <w:r>
          <w:rPr>
            <w:color w:val="1155CC"/>
            <w:u w:val="single"/>
          </w:rPr>
          <w:t>here</w:t>
        </w:r>
      </w:hyperlink>
      <w:r>
        <w:t xml:space="preserve">:- </w:t>
      </w:r>
    </w:p>
    <w:p w:rsidR="004F551A" w:rsidRDefault="004F551A">
      <w:pPr>
        <w:ind w:left="226" w:right="226"/>
        <w:jc w:val="both"/>
      </w:pPr>
    </w:p>
    <w:p w:rsidR="004F551A" w:rsidRDefault="00BF6A2E">
      <w:pPr>
        <w:spacing w:after="12"/>
        <w:ind w:left="226" w:right="226"/>
      </w:pPr>
      <w:r>
        <w:t xml:space="preserve">In line with </w:t>
      </w:r>
      <w:proofErr w:type="spellStart"/>
      <w:r>
        <w:t>Ofqual’s</w:t>
      </w:r>
      <w:proofErr w:type="spellEnd"/>
      <w:r>
        <w:t xml:space="preserve"> advice, students should not submit any further work to the school for </w:t>
      </w:r>
      <w:proofErr w:type="gramStart"/>
      <w:r>
        <w:t>assessment,</w:t>
      </w:r>
      <w:proofErr w:type="gramEnd"/>
      <w:r>
        <w:t xml:space="preserve"> only submit work that was issued before the closure of the school.  A letter to students outlining the process and expectations can be found </w:t>
      </w:r>
      <w:hyperlink r:id="rId8">
        <w:r>
          <w:rPr>
            <w:color w:val="1155CC"/>
            <w:u w:val="single"/>
          </w:rPr>
          <w:t>here</w:t>
        </w:r>
      </w:hyperlink>
      <w:hyperlink r:id="rId9">
        <w:r>
          <w:t xml:space="preserve">:- </w:t>
        </w:r>
      </w:hyperlink>
    </w:p>
    <w:p w:rsidR="004F551A" w:rsidRDefault="004F551A">
      <w:pPr>
        <w:spacing w:after="12"/>
        <w:ind w:left="226" w:right="226"/>
      </w:pPr>
    </w:p>
    <w:p w:rsidR="004F551A" w:rsidRDefault="00BF6A2E">
      <w:pPr>
        <w:spacing w:after="12"/>
        <w:ind w:left="226" w:right="226"/>
        <w:jc w:val="both"/>
        <w:rPr>
          <w:color w:val="333333"/>
          <w:sz w:val="23"/>
          <w:szCs w:val="23"/>
        </w:rPr>
      </w:pPr>
      <w:r>
        <w:rPr>
          <w:color w:val="333333"/>
          <w:sz w:val="23"/>
          <w:szCs w:val="23"/>
        </w:rPr>
        <w:t xml:space="preserve">In the meantime, please do not request estimated grades from the school, as </w:t>
      </w:r>
      <w:proofErr w:type="spellStart"/>
      <w:r>
        <w:rPr>
          <w:color w:val="333333"/>
          <w:sz w:val="23"/>
          <w:szCs w:val="23"/>
        </w:rPr>
        <w:t>Ofqual</w:t>
      </w:r>
      <w:proofErr w:type="spellEnd"/>
      <w:r>
        <w:rPr>
          <w:color w:val="333333"/>
          <w:sz w:val="23"/>
          <w:szCs w:val="23"/>
        </w:rPr>
        <w:t xml:space="preserve"> guidance clearly states that we are unable to do this.</w:t>
      </w:r>
    </w:p>
    <w:p w:rsidR="004F551A" w:rsidRDefault="004F551A">
      <w:pPr>
        <w:spacing w:after="12"/>
        <w:ind w:left="226" w:right="226"/>
        <w:jc w:val="both"/>
        <w:rPr>
          <w:color w:val="333333"/>
          <w:sz w:val="23"/>
          <w:szCs w:val="23"/>
        </w:rPr>
      </w:pPr>
    </w:p>
    <w:p w:rsidR="004F551A" w:rsidRDefault="00BF6A2E">
      <w:pPr>
        <w:spacing w:after="12"/>
        <w:ind w:left="226" w:right="226"/>
        <w:jc w:val="both"/>
        <w:rPr>
          <w:color w:val="333333"/>
        </w:rPr>
      </w:pPr>
      <w:r>
        <w:rPr>
          <w:color w:val="333333"/>
        </w:rPr>
        <w:t>I fully understand how difficult these last few weeks have been for you all.</w:t>
      </w:r>
      <w:r w:rsidR="008365C0">
        <w:rPr>
          <w:color w:val="333333"/>
        </w:rPr>
        <w:t xml:space="preserve"> </w:t>
      </w:r>
      <w:r>
        <w:rPr>
          <w:color w:val="333333"/>
        </w:rPr>
        <w:t xml:space="preserve">I will write to you again when I receive further information from </w:t>
      </w:r>
      <w:proofErr w:type="spellStart"/>
      <w:r>
        <w:rPr>
          <w:color w:val="333333"/>
        </w:rPr>
        <w:t>Ofqual</w:t>
      </w:r>
      <w:proofErr w:type="spellEnd"/>
      <w:r>
        <w:rPr>
          <w:color w:val="333333"/>
        </w:rPr>
        <w:t>.  In the meantime have a safe, happy and restful Easter break.</w:t>
      </w:r>
      <w:bookmarkStart w:id="5" w:name="_GoBack"/>
      <w:bookmarkEnd w:id="5"/>
    </w:p>
    <w:p w:rsidR="004F551A" w:rsidRDefault="004F551A">
      <w:pPr>
        <w:ind w:left="226" w:right="226"/>
        <w:rPr>
          <w:color w:val="333333"/>
          <w:sz w:val="23"/>
          <w:szCs w:val="23"/>
        </w:rPr>
      </w:pPr>
    </w:p>
    <w:p w:rsidR="004F551A" w:rsidRDefault="00BF6A2E">
      <w:pPr>
        <w:ind w:left="226" w:right="226"/>
        <w:rPr>
          <w:color w:val="333333"/>
          <w:sz w:val="23"/>
          <w:szCs w:val="23"/>
        </w:rPr>
      </w:pPr>
      <w:r>
        <w:rPr>
          <w:color w:val="333333"/>
          <w:sz w:val="23"/>
          <w:szCs w:val="23"/>
        </w:rPr>
        <w:t>Yours faithfully,</w:t>
      </w:r>
    </w:p>
    <w:p w:rsidR="004F551A" w:rsidRDefault="00BF6A2E">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226" w:right="226"/>
        <w:jc w:val="both"/>
        <w:rPr>
          <w:rFonts w:ascii="Arial Narrow" w:eastAsia="Arial Narrow" w:hAnsi="Arial Narrow" w:cs="Arial Narrow"/>
        </w:rPr>
      </w:pPr>
      <w:r>
        <w:rPr>
          <w:rFonts w:ascii="Arial Narrow" w:eastAsia="Arial Narrow" w:hAnsi="Arial Narrow" w:cs="Arial Narrow"/>
          <w:noProof/>
          <w:lang w:val="en-GB"/>
        </w:rPr>
        <w:drawing>
          <wp:inline distT="114300" distB="114300" distL="114300" distR="114300">
            <wp:extent cx="890588" cy="44529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90588" cy="445294"/>
                    </a:xfrm>
                    <a:prstGeom prst="rect">
                      <a:avLst/>
                    </a:prstGeom>
                    <a:ln/>
                  </pic:spPr>
                </pic:pic>
              </a:graphicData>
            </a:graphic>
          </wp:inline>
        </w:drawing>
      </w:r>
    </w:p>
    <w:p w:rsidR="004F551A" w:rsidRDefault="00BF6A2E">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226" w:right="226"/>
        <w:jc w:val="both"/>
        <w:rPr>
          <w:u w:val="single"/>
        </w:rPr>
      </w:pPr>
      <w:r>
        <w:rPr>
          <w:u w:val="single"/>
        </w:rPr>
        <w:t>Michael Schofield</w:t>
      </w:r>
    </w:p>
    <w:p w:rsidR="004F551A" w:rsidRDefault="00BF6A2E">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226" w:right="226"/>
        <w:jc w:val="both"/>
        <w:rPr>
          <w:rFonts w:ascii="Arial Narrow" w:eastAsia="Arial Narrow" w:hAnsi="Arial Narrow" w:cs="Arial Narrow"/>
          <w:highlight w:val="white"/>
        </w:rPr>
      </w:pPr>
      <w:proofErr w:type="spellStart"/>
      <w:r>
        <w:t>Headteacher</w:t>
      </w:r>
      <w:proofErr w:type="spellEnd"/>
    </w:p>
    <w:sectPr w:rsidR="004F551A">
      <w:headerReference w:type="default" r:id="rId11"/>
      <w:footerReference w:type="default" r:id="rId12"/>
      <w:headerReference w:type="first" r:id="rId13"/>
      <w:footerReference w:type="first" r:id="rId14"/>
      <w:pgSz w:w="11906" w:h="16838"/>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F4" w:rsidRDefault="00D863F4">
      <w:pPr>
        <w:spacing w:line="240" w:lineRule="auto"/>
      </w:pPr>
      <w:r>
        <w:separator/>
      </w:r>
    </w:p>
  </w:endnote>
  <w:endnote w:type="continuationSeparator" w:id="0">
    <w:p w:rsidR="00D863F4" w:rsidRDefault="00D86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egrey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1A" w:rsidRDefault="00BF6A2E">
    <w:pPr>
      <w:spacing w:before="100" w:after="100" w:line="240" w:lineRule="auto"/>
      <w:ind w:right="-284"/>
      <w:jc w:val="center"/>
      <w:rPr>
        <w:rFonts w:ascii="Alegreya" w:eastAsia="Alegreya" w:hAnsi="Alegreya" w:cs="Alegreya"/>
        <w:i/>
        <w:color w:val="666666"/>
      </w:rPr>
    </w:pPr>
    <w:r>
      <w:rPr>
        <w:rFonts w:ascii="Alegreya" w:eastAsia="Alegreya" w:hAnsi="Alegreya" w:cs="Alegreya"/>
        <w:i/>
        <w:color w:val="666666"/>
      </w:rPr>
      <w:t>Over 100 years of Nautical Education</w:t>
    </w:r>
  </w:p>
  <w:p w:rsidR="004F551A" w:rsidRDefault="00BF6A2E">
    <w:pPr>
      <w:spacing w:before="100" w:after="100" w:line="240" w:lineRule="auto"/>
      <w:ind w:right="-284"/>
      <w:jc w:val="center"/>
      <w:rPr>
        <w:rFonts w:ascii="Alegreya" w:eastAsia="Alegreya" w:hAnsi="Alegreya" w:cs="Alegreya"/>
        <w:i/>
        <w:color w:val="666666"/>
      </w:rPr>
    </w:pPr>
    <w:r>
      <w:rPr>
        <w:rFonts w:ascii="Alegreya" w:eastAsia="Alegreya" w:hAnsi="Alegreya" w:cs="Alegreya"/>
        <w:i/>
        <w:color w:val="666666"/>
      </w:rPr>
      <w:t>www.lns.org.uk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1A" w:rsidRDefault="00BF6A2E">
    <w:pPr>
      <w:spacing w:before="100" w:after="100" w:line="240" w:lineRule="auto"/>
      <w:ind w:right="-284"/>
      <w:jc w:val="center"/>
      <w:rPr>
        <w:rFonts w:ascii="Alegreya" w:eastAsia="Alegreya" w:hAnsi="Alegreya" w:cs="Alegreya"/>
        <w:i/>
        <w:color w:val="666666"/>
        <w:sz w:val="20"/>
        <w:szCs w:val="20"/>
      </w:rPr>
    </w:pPr>
    <w:r>
      <w:rPr>
        <w:rFonts w:ascii="Alegreya" w:eastAsia="Alegreya" w:hAnsi="Alegreya" w:cs="Alegreya"/>
        <w:i/>
        <w:color w:val="666666"/>
        <w:sz w:val="20"/>
        <w:szCs w:val="20"/>
      </w:rPr>
      <w:t>Over 100 years of Nautical Education</w:t>
    </w:r>
  </w:p>
  <w:p w:rsidR="004F551A" w:rsidRDefault="00BF6A2E">
    <w:pPr>
      <w:spacing w:before="100" w:after="100" w:line="240" w:lineRule="auto"/>
      <w:ind w:right="-284"/>
      <w:jc w:val="center"/>
      <w:rPr>
        <w:sz w:val="20"/>
        <w:szCs w:val="20"/>
      </w:rPr>
    </w:pPr>
    <w:r>
      <w:rPr>
        <w:rFonts w:ascii="Alegreya" w:eastAsia="Alegreya" w:hAnsi="Alegreya" w:cs="Alegreya"/>
        <w:i/>
        <w:color w:val="666666"/>
        <w:sz w:val="20"/>
        <w:szCs w:val="20"/>
      </w:rPr>
      <w:t>www.lns.org.uk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F4" w:rsidRDefault="00D863F4">
      <w:pPr>
        <w:spacing w:line="240" w:lineRule="auto"/>
      </w:pPr>
      <w:r>
        <w:separator/>
      </w:r>
    </w:p>
  </w:footnote>
  <w:footnote w:type="continuationSeparator" w:id="0">
    <w:p w:rsidR="00D863F4" w:rsidRDefault="00D863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1A" w:rsidRDefault="004F551A">
    <w:pPr>
      <w:spacing w:before="100" w:after="100" w:line="240" w:lineRule="auto"/>
      <w:jc w:val="center"/>
      <w:rPr>
        <w:rFonts w:ascii="Alegreya" w:eastAsia="Alegreya" w:hAnsi="Alegreya" w:cs="Alegreya"/>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1A" w:rsidRDefault="004F551A">
    <w:pPr>
      <w:spacing w:before="100" w:after="100" w:line="240" w:lineRule="auto"/>
      <w:jc w:val="center"/>
      <w:rPr>
        <w:rFonts w:ascii="Alegreya" w:eastAsia="Alegreya" w:hAnsi="Alegreya" w:cs="Alegreya"/>
        <w:smallCaps/>
        <w:sz w:val="20"/>
        <w:szCs w:val="20"/>
      </w:rPr>
    </w:pPr>
  </w:p>
  <w:p w:rsidR="004F551A" w:rsidRDefault="00BF6A2E">
    <w:pPr>
      <w:spacing w:before="100" w:after="100" w:line="240" w:lineRule="auto"/>
      <w:jc w:val="center"/>
      <w:rPr>
        <w:rFonts w:ascii="Alegreya" w:eastAsia="Alegreya" w:hAnsi="Alegreya" w:cs="Alegreya"/>
        <w:smallCaps/>
        <w:sz w:val="28"/>
        <w:szCs w:val="28"/>
      </w:rPr>
    </w:pPr>
    <w:r>
      <w:rPr>
        <w:rFonts w:ascii="Alegreya" w:eastAsia="Alegreya" w:hAnsi="Alegreya" w:cs="Alegreya"/>
        <w:smallCaps/>
        <w:noProof/>
        <w:sz w:val="28"/>
        <w:szCs w:val="28"/>
        <w:lang w:val="en-GB"/>
      </w:rPr>
      <w:drawing>
        <wp:inline distT="114300" distB="114300" distL="114300" distR="114300">
          <wp:extent cx="1047750" cy="10978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1097882"/>
                  </a:xfrm>
                  <a:prstGeom prst="rect">
                    <a:avLst/>
                  </a:prstGeom>
                  <a:ln/>
                </pic:spPr>
              </pic:pic>
            </a:graphicData>
          </a:graphic>
        </wp:inline>
      </w:drawing>
    </w:r>
  </w:p>
  <w:p w:rsidR="004F551A" w:rsidRDefault="00BF6A2E">
    <w:pPr>
      <w:jc w:val="center"/>
      <w:rPr>
        <w:rFonts w:ascii="Alegreya" w:eastAsia="Alegreya" w:hAnsi="Alegreya" w:cs="Alegreya"/>
        <w:b/>
        <w:sz w:val="28"/>
        <w:szCs w:val="28"/>
      </w:rPr>
    </w:pPr>
    <w:r>
      <w:rPr>
        <w:rFonts w:ascii="Alegreya" w:eastAsia="Alegreya" w:hAnsi="Alegreya" w:cs="Alegreya"/>
        <w:b/>
        <w:sz w:val="28"/>
        <w:szCs w:val="28"/>
      </w:rPr>
      <w:t>THE LONDON NAUTICAL SCHOOL</w:t>
    </w:r>
  </w:p>
  <w:p w:rsidR="004F551A" w:rsidRDefault="00BF6A2E">
    <w:pPr>
      <w:jc w:val="center"/>
      <w:rPr>
        <w:rFonts w:ascii="Alegreya" w:eastAsia="Alegreya" w:hAnsi="Alegreya" w:cs="Alegreya"/>
        <w:i/>
        <w:sz w:val="20"/>
        <w:szCs w:val="20"/>
      </w:rPr>
    </w:pPr>
    <w:proofErr w:type="gramStart"/>
    <w:r>
      <w:rPr>
        <w:rFonts w:ascii="Alegreya" w:eastAsia="Alegreya" w:hAnsi="Alegreya" w:cs="Alegreya"/>
        <w:i/>
        <w:sz w:val="20"/>
        <w:szCs w:val="20"/>
      </w:rPr>
      <w:t>61  STAMFORD</w:t>
    </w:r>
    <w:proofErr w:type="gramEnd"/>
    <w:r>
      <w:rPr>
        <w:rFonts w:ascii="Alegreya" w:eastAsia="Alegreya" w:hAnsi="Alegreya" w:cs="Alegreya"/>
        <w:i/>
        <w:sz w:val="20"/>
        <w:szCs w:val="20"/>
      </w:rPr>
      <w:t xml:space="preserve"> STREET,  LONDON  SE1 9NA</w:t>
    </w:r>
  </w:p>
  <w:p w:rsidR="004F551A" w:rsidRDefault="00BF6A2E">
    <w:pPr>
      <w:jc w:val="center"/>
      <w:rPr>
        <w:rFonts w:ascii="Alegreya" w:eastAsia="Alegreya" w:hAnsi="Alegreya" w:cs="Alegreya"/>
        <w:i/>
        <w:sz w:val="20"/>
        <w:szCs w:val="20"/>
      </w:rPr>
    </w:pPr>
    <w:r>
      <w:rPr>
        <w:rFonts w:ascii="Alegreya" w:eastAsia="Alegreya" w:hAnsi="Alegreya" w:cs="Alegreya"/>
        <w:i/>
        <w:sz w:val="20"/>
        <w:szCs w:val="20"/>
      </w:rPr>
      <w:t>TELEPHONE:   020 7928 6801</w:t>
    </w:r>
    <w:r>
      <w:rPr>
        <w:rFonts w:ascii="Alegreya" w:eastAsia="Alegreya" w:hAnsi="Alegreya" w:cs="Alegreya"/>
        <w:i/>
        <w:sz w:val="20"/>
        <w:szCs w:val="20"/>
      </w:rPr>
      <w:tab/>
    </w:r>
    <w:r>
      <w:rPr>
        <w:rFonts w:ascii="Alegreya" w:eastAsia="Alegreya" w:hAnsi="Alegreya" w:cs="Alegreya"/>
        <w:i/>
        <w:sz w:val="20"/>
        <w:szCs w:val="20"/>
      </w:rPr>
      <w:tab/>
      <w:t>EMAIL: adminteam@lns.org.uk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551A"/>
    <w:rsid w:val="0030210E"/>
    <w:rsid w:val="004B5336"/>
    <w:rsid w:val="004F551A"/>
    <w:rsid w:val="00646D0F"/>
    <w:rsid w:val="008365C0"/>
    <w:rsid w:val="009743B1"/>
    <w:rsid w:val="00BF6A2E"/>
    <w:rsid w:val="00C36C95"/>
    <w:rsid w:val="00D863F4"/>
    <w:rsid w:val="00F1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2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02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7830/Letter_to_students_-_Summer_2020_grading.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7842/Summer_2020_grades_for_GCSE_AS_A_level_EPQ_AEA_in_maths_-_guidance_for_teachers_students_parents.pdf"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77830/Letter_to_students_-_Summer_2020_grading.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2020-04-06T15:09:00Z</cp:lastPrinted>
  <dcterms:created xsi:type="dcterms:W3CDTF">2020-04-06T15:23:00Z</dcterms:created>
  <dcterms:modified xsi:type="dcterms:W3CDTF">2020-04-06T15:56:00Z</dcterms:modified>
</cp:coreProperties>
</file>